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313949"/>
          <w:sz w:val="79"/>
          <w:szCs w:val="79"/>
          <w:highlight w:val="white"/>
        </w:rPr>
      </w:pPr>
      <w:r w:rsidDel="00000000" w:rsidR="00000000" w:rsidRPr="00000000">
        <w:rPr>
          <w:b w:val="1"/>
          <w:color w:val="313949"/>
          <w:sz w:val="79"/>
          <w:szCs w:val="79"/>
          <w:highlight w:val="white"/>
          <w:rtl w:val="0"/>
        </w:rPr>
        <w:t xml:space="preserve">Come Join</w:t>
      </w:r>
    </w:p>
    <w:p w:rsidR="00000000" w:rsidDel="00000000" w:rsidP="00000000" w:rsidRDefault="00000000" w:rsidRPr="00000000" w14:paraId="00000002">
      <w:pPr>
        <w:rPr>
          <w:color w:val="31394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1394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13949"/>
          <w:sz w:val="21"/>
          <w:szCs w:val="21"/>
          <w:highlight w:val="white"/>
        </w:rPr>
      </w:pPr>
      <w:r w:rsidDel="00000000" w:rsidR="00000000" w:rsidRPr="00000000">
        <w:rPr>
          <w:color w:val="313949"/>
          <w:sz w:val="21"/>
          <w:szCs w:val="21"/>
          <w:highlight w:val="white"/>
        </w:rPr>
        <w:drawing>
          <wp:inline distB="114300" distT="114300" distL="114300" distR="114300">
            <wp:extent cx="5934075" cy="2190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9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1394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45818e"/>
          <w:sz w:val="47"/>
          <w:szCs w:val="47"/>
          <w:highlight w:val="white"/>
        </w:rPr>
      </w:pPr>
      <w:r w:rsidDel="00000000" w:rsidR="00000000" w:rsidRPr="00000000">
        <w:rPr>
          <w:b w:val="1"/>
          <w:color w:val="45818e"/>
          <w:sz w:val="47"/>
          <w:szCs w:val="47"/>
          <w:highlight w:val="white"/>
          <w:rtl w:val="0"/>
        </w:rPr>
        <w:t xml:space="preserve">At the Port St. Lucie Home Show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47"/>
          <w:szCs w:val="47"/>
          <w:highlight w:val="white"/>
        </w:rPr>
      </w:pPr>
      <w:r w:rsidDel="00000000" w:rsidR="00000000" w:rsidRPr="00000000">
        <w:rPr>
          <w:b w:val="1"/>
          <w:sz w:val="47"/>
          <w:szCs w:val="47"/>
          <w:highlight w:val="white"/>
          <w:rtl w:val="0"/>
        </w:rPr>
        <w:t xml:space="preserve">January 17th-18th 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47"/>
          <w:szCs w:val="4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3"/>
          <w:szCs w:val="33"/>
          <w:highlight w:val="white"/>
        </w:rPr>
      </w:pPr>
      <w:r w:rsidDel="00000000" w:rsidR="00000000" w:rsidRPr="00000000">
        <w:rPr>
          <w:b w:val="1"/>
          <w:sz w:val="33"/>
          <w:szCs w:val="33"/>
          <w:highlight w:val="white"/>
          <w:rtl w:val="0"/>
        </w:rPr>
        <w:t xml:space="preserve">Free Admission 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47"/>
          <w:szCs w:val="4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MIDFLORIDA Credit Union Event Center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(formerly Port St. Lucie Civic Center) 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Off Walton Road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9221 SE Event Center Place,</w:t>
      </w:r>
    </w:p>
    <w:p w:rsidR="00000000" w:rsidDel="00000000" w:rsidP="00000000" w:rsidRDefault="00000000" w:rsidRPr="00000000" w14:paraId="0000000F">
      <w:pPr>
        <w:jc w:val="center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Port St. Lucie, Florida 34952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Generator Installation, warranty and maintenance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LP Gas tank installation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Lighting, Light Fixtures, Plugs, Outlets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Ceiling Fans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Panel installation, Change, Relocation and Upgrades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Failed 4.1 inspection (loose wires, double taps, no cover)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Electric car charger installation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Portable generator 30/50amp circuits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Cummins and Generac Generator dealer.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